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1" w:rsidRDefault="00A73CA1" w:rsidP="00487A82">
      <w:pPr>
        <w:spacing w:after="120"/>
        <w:jc w:val="both"/>
      </w:pPr>
      <w:r>
        <w:t>Введение ограничений движения капиталов – альтернативы нет</w:t>
      </w:r>
    </w:p>
    <w:p w:rsidR="00A73CA1" w:rsidRDefault="00A73CA1" w:rsidP="00487A82">
      <w:pPr>
        <w:spacing w:after="120"/>
        <w:jc w:val="both"/>
      </w:pPr>
      <w:r>
        <w:t>Татьяна Куликова</w:t>
      </w:r>
    </w:p>
    <w:p w:rsidR="00A73CA1" w:rsidRDefault="00A73CA1" w:rsidP="00487A82">
      <w:pPr>
        <w:spacing w:after="120"/>
        <w:jc w:val="both"/>
      </w:pPr>
      <w:r>
        <w:t>Эксперт-экономист</w:t>
      </w:r>
      <w:bookmarkStart w:id="0" w:name="_GoBack"/>
      <w:bookmarkEnd w:id="0"/>
    </w:p>
    <w:p w:rsidR="00A73CA1" w:rsidRDefault="00A73CA1" w:rsidP="00487A82">
      <w:pPr>
        <w:spacing w:after="120"/>
        <w:jc w:val="both"/>
      </w:pPr>
      <w:r>
        <w:t>Весной этого года в статье «Ограничение трансграничного движения капитала – реабилитация состоялась» (</w:t>
      </w:r>
      <w:proofErr w:type="spellStart"/>
      <w:r>
        <w:rPr>
          <w:lang w:val="en-US"/>
        </w:rPr>
        <w:t>za</w:t>
      </w:r>
      <w:proofErr w:type="spellEnd"/>
      <w:r w:rsidRPr="00A96185">
        <w:t>-</w:t>
      </w:r>
      <w:proofErr w:type="spellStart"/>
      <w:r>
        <w:rPr>
          <w:lang w:val="en-US"/>
        </w:rPr>
        <w:t>nauku</w:t>
      </w:r>
      <w:proofErr w:type="spellEnd"/>
      <w:r w:rsidRPr="00A96185">
        <w:t>.</w:t>
      </w:r>
      <w:proofErr w:type="spellStart"/>
      <w:r>
        <w:rPr>
          <w:lang w:val="en-US"/>
        </w:rPr>
        <w:t>ru</w:t>
      </w:r>
      <w:proofErr w:type="spellEnd"/>
      <w:r w:rsidRPr="00A96185">
        <w:t xml:space="preserve">, 08.04.2014) </w:t>
      </w:r>
      <w:r>
        <w:t xml:space="preserve">я обосновывала необходимость введения в России элементов контроля капитального счета торгового баланса (коротко: </w:t>
      </w:r>
      <w:r w:rsidRPr="00691639">
        <w:rPr>
          <w:i/>
          <w:iCs/>
        </w:rPr>
        <w:t>капитальный контроль</w:t>
      </w:r>
      <w:r>
        <w:t xml:space="preserve">).  Иначе обеспечить стабильность валютного курса возможно только ценой ужесточения денежно-кредитной политики (ДКП), что крайне негативно отражается на экономике. К сожалению, жизнь с избытком подтвердила мои опасения: даже ценой значительного ужесточения ДКП (с февраля нынешнего года ключевая ставка ЦБ постепенно увеличилась на 5 процентных пунктов – с 5.5% до 10.5%, а 16 декабря скакнула до 17%) Центробанк не может остановить обвальное падение рубля. Так что теперь тема введения капитального контроля актуальна как никогда. </w:t>
      </w:r>
    </w:p>
    <w:p w:rsidR="00A73CA1" w:rsidRDefault="00A73CA1" w:rsidP="00487A82">
      <w:pPr>
        <w:spacing w:after="120"/>
        <w:jc w:val="both"/>
      </w:pPr>
      <w:r>
        <w:t xml:space="preserve">Попробуем сначала разобраться в логике действий Центробанка. </w:t>
      </w:r>
    </w:p>
    <w:p w:rsidR="00A73CA1" w:rsidRDefault="00A73CA1" w:rsidP="00487A82">
      <w:pPr>
        <w:spacing w:after="120"/>
        <w:jc w:val="both"/>
      </w:pPr>
      <w:r>
        <w:t>Еще в</w:t>
      </w:r>
      <w:r w:rsidRPr="009C1B55">
        <w:t xml:space="preserve"> 2013 </w:t>
      </w:r>
      <w:r>
        <w:t>году в рамках своей долгосрочной стратегии развития финансового рынка Банк России планировал с начала 2015 года перейти к свободно плавающему курсу рубля, т.е. полностью отказаться от его поддержки (допускается лишь возможность разовых интервенций в исключительных случаях). В основе этого решения лежит неолиберальный тезис о том, что при свободном движении капитала свободно плавающий курс «абсорбирует» внешние шоки и тем самым защищает от них экономику. Этот тезис, в свою очередь, основан на  классической теории о «невозможной троице» (</w:t>
      </w:r>
      <w:r>
        <w:rPr>
          <w:lang w:val="en-US"/>
        </w:rPr>
        <w:t>impossible</w:t>
      </w:r>
      <w:r w:rsidRPr="002A5F3C">
        <w:t xml:space="preserve"> </w:t>
      </w:r>
      <w:r>
        <w:rPr>
          <w:lang w:val="en-US"/>
        </w:rPr>
        <w:t>trinity</w:t>
      </w:r>
      <w:r w:rsidRPr="002A5F3C">
        <w:t>)</w:t>
      </w:r>
      <w:r w:rsidRPr="003E7B2A">
        <w:t xml:space="preserve"> </w:t>
      </w:r>
      <w:r>
        <w:t xml:space="preserve">или, как ее еще называют, </w:t>
      </w:r>
      <w:proofErr w:type="spellStart"/>
      <w:r>
        <w:t>трилемме</w:t>
      </w:r>
      <w:proofErr w:type="spellEnd"/>
      <w:r>
        <w:rPr>
          <w:rStyle w:val="a6"/>
          <w:rFonts w:cs="Calibri"/>
        </w:rPr>
        <w:endnoteReference w:id="1"/>
      </w:r>
      <w:r>
        <w:t xml:space="preserve">. Эта теория утверждает, что следующие три цели </w:t>
      </w:r>
      <w:r w:rsidRPr="00A40AFA">
        <w:rPr>
          <w:i/>
          <w:iCs/>
        </w:rPr>
        <w:t>не могут быть достигнуты одновременно</w:t>
      </w:r>
      <w:r>
        <w:t xml:space="preserve">: </w:t>
      </w:r>
    </w:p>
    <w:p w:rsidR="00A73CA1" w:rsidRDefault="00A73CA1" w:rsidP="00487A82">
      <w:pPr>
        <w:pStyle w:val="a3"/>
        <w:numPr>
          <w:ilvl w:val="0"/>
          <w:numId w:val="1"/>
        </w:numPr>
        <w:spacing w:after="120"/>
        <w:jc w:val="both"/>
      </w:pPr>
      <w:r>
        <w:t>свободное трансграничное движение капитала;</w:t>
      </w:r>
    </w:p>
    <w:p w:rsidR="00A73CA1" w:rsidRDefault="00A73CA1" w:rsidP="00487A82">
      <w:pPr>
        <w:pStyle w:val="a3"/>
        <w:numPr>
          <w:ilvl w:val="0"/>
          <w:numId w:val="1"/>
        </w:numPr>
        <w:spacing w:after="120"/>
        <w:jc w:val="both"/>
      </w:pPr>
      <w:r>
        <w:t>независимая денежно-кредитная политика;</w:t>
      </w:r>
    </w:p>
    <w:p w:rsidR="00A73CA1" w:rsidRPr="00A03715" w:rsidRDefault="00A73CA1" w:rsidP="00487A82">
      <w:pPr>
        <w:pStyle w:val="a3"/>
        <w:numPr>
          <w:ilvl w:val="0"/>
          <w:numId w:val="1"/>
        </w:numPr>
        <w:spacing w:after="120"/>
        <w:jc w:val="both"/>
      </w:pPr>
      <w:r>
        <w:t>фиксированный (или управляемый) валютный курс.</w:t>
      </w:r>
    </w:p>
    <w:p w:rsidR="00A73CA1" w:rsidRDefault="00A73CA1" w:rsidP="00487A82">
      <w:pPr>
        <w:spacing w:after="120"/>
        <w:jc w:val="both"/>
      </w:pPr>
      <w:r>
        <w:t xml:space="preserve">Иными словами, необходимо отказаться от одной из указанных трех целей. </w:t>
      </w:r>
    </w:p>
    <w:p w:rsidR="00A73CA1" w:rsidRDefault="00A73CA1" w:rsidP="00487A82">
      <w:pPr>
        <w:spacing w:after="120"/>
        <w:jc w:val="both"/>
      </w:pPr>
      <w:r>
        <w:t xml:space="preserve">Отказ от свободного движения капитала в современной России невозможен по идеологическим соображениям (это решение принято не на уровне Центробанка, а на уровне правительства и президента, но ЦБ активно поддерживает это решение). Поэтому ЦБ должен выбирать, что важнее: стабильный курс валюты или </w:t>
      </w:r>
      <w:proofErr w:type="gramStart"/>
      <w:r>
        <w:t>независимая</w:t>
      </w:r>
      <w:proofErr w:type="gramEnd"/>
      <w:r>
        <w:t xml:space="preserve"> ДКП. </w:t>
      </w:r>
    </w:p>
    <w:p w:rsidR="00A73CA1" w:rsidRDefault="00A73CA1" w:rsidP="00487A82">
      <w:pPr>
        <w:spacing w:after="120"/>
        <w:jc w:val="both"/>
      </w:pPr>
      <w:r>
        <w:t xml:space="preserve">Иными словами, управляемый валютный курс в условиях отсутствия ограничений на движение капитала может существовать только за счет того, что ДКП будет подчинена цели управления курсом: когда курс национальной валюты падает, поддержать его может только ужесточение ДКП, и наоборот. (Поддержать валюту можно также интервенциями, но только в краткосрочном аспекте, так как для этого нужны резервы, а они всегда ограничены.) А вот отказ от управляемого курса валюты позволяет вести </w:t>
      </w:r>
      <w:proofErr w:type="gramStart"/>
      <w:r>
        <w:t>независимую</w:t>
      </w:r>
      <w:proofErr w:type="gramEnd"/>
      <w:r>
        <w:t xml:space="preserve"> ДКП, т.е. нацелить ДКП на ее основные цели – например, </w:t>
      </w:r>
      <w:proofErr w:type="spellStart"/>
      <w:r>
        <w:t>таргетирование</w:t>
      </w:r>
      <w:proofErr w:type="spellEnd"/>
      <w:r>
        <w:t xml:space="preserve"> инфляции и</w:t>
      </w:r>
      <w:r w:rsidRPr="00F35965">
        <w:t>/</w:t>
      </w:r>
      <w:r>
        <w:t xml:space="preserve">или стимулирование экономического роста. Именно такой выбор пути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классической</w:t>
      </w:r>
      <w:proofErr w:type="gramEnd"/>
      <w:r>
        <w:t xml:space="preserve"> </w:t>
      </w:r>
      <w:proofErr w:type="spellStart"/>
      <w:r>
        <w:t>трилемме</w:t>
      </w:r>
      <w:proofErr w:type="spellEnd"/>
      <w:r>
        <w:t xml:space="preserve"> и делают развитые капиталистические страны и, следуя их примеру, наш Центробанк.</w:t>
      </w:r>
    </w:p>
    <w:p w:rsidR="00A73CA1" w:rsidRDefault="00A73CA1" w:rsidP="00AE6AB6">
      <w:pPr>
        <w:spacing w:after="120"/>
        <w:jc w:val="both"/>
      </w:pPr>
      <w:r>
        <w:t>И решение прекратить поддержку рубля, не дожидаясь 2015 года, в этой логике выглядит абсолютно правильно: интервенции лишь отсрочили бы неизбежное падение рубля, но резервы ЦБ при этом бы израсходовались.</w:t>
      </w:r>
    </w:p>
    <w:p w:rsidR="00A73CA1" w:rsidRDefault="00A73CA1" w:rsidP="00AE6AB6">
      <w:pPr>
        <w:spacing w:after="120"/>
        <w:jc w:val="both"/>
      </w:pPr>
      <w:r>
        <w:lastRenderedPageBreak/>
        <w:t xml:space="preserve">Однако логика действий ЦБ не учитывает простого факта: что хорошо для стран с развитыми финансовыми рынками и избытком капитала, не обязательно подходит таким странам как Россия – особенно когда против нее ведется экономическая война. </w:t>
      </w:r>
    </w:p>
    <w:p w:rsidR="00A73CA1" w:rsidRDefault="00A73CA1" w:rsidP="00AE6AB6">
      <w:pPr>
        <w:spacing w:after="120"/>
        <w:jc w:val="both"/>
      </w:pPr>
      <w:r>
        <w:t xml:space="preserve">Дело в том, что мировой кризис 2008 года наглядно продемонстрировал, что свободное плавание национальной валюты в современном глобальном мире уже не может защитить экономику от внешних шоков, так как колебания курса могут быть столь мощными и резкими, что сами становятся причиной дестабилизации всей финансовой системы страны. </w:t>
      </w:r>
      <w:proofErr w:type="gramStart"/>
      <w:r>
        <w:t xml:space="preserve">Это происходит потому, что </w:t>
      </w:r>
      <w:r w:rsidRPr="00F53DB6">
        <w:t>при сегодняшнем уровне взаимосвязи финансовых систем</w:t>
      </w:r>
      <w:r>
        <w:t xml:space="preserve"> основной вклад в рост и падение финансовых рынков по всему миру вносит не макроэкономическая ситуация в соответствующей стране, а ДКП в центре финансовой системы – т.е. в США и до некоторой степени в других развитых странах – которая порождает мощнейшие трансграничные потоки спекулятивного капитала.</w:t>
      </w:r>
      <w:proofErr w:type="gramEnd"/>
      <w:r>
        <w:t xml:space="preserve"> Поэтому страны, находящиеся на периферии мировой финансовой системы, даже при свободно плавающем курсе </w:t>
      </w:r>
      <w:r w:rsidRPr="00751121">
        <w:rPr>
          <w:i/>
          <w:iCs/>
        </w:rPr>
        <w:t>не могут</w:t>
      </w:r>
      <w:r w:rsidRPr="00751121">
        <w:t xml:space="preserve"> </w:t>
      </w:r>
      <w:r w:rsidRPr="003429F6">
        <w:rPr>
          <w:i/>
          <w:iCs/>
        </w:rPr>
        <w:t xml:space="preserve">иметь </w:t>
      </w:r>
      <w:proofErr w:type="gramStart"/>
      <w:r w:rsidRPr="003429F6">
        <w:rPr>
          <w:i/>
          <w:iCs/>
        </w:rPr>
        <w:t>независимую</w:t>
      </w:r>
      <w:proofErr w:type="gramEnd"/>
      <w:r w:rsidRPr="003429F6">
        <w:rPr>
          <w:i/>
          <w:iCs/>
        </w:rPr>
        <w:t xml:space="preserve"> ДКП при свободном движении капитала</w:t>
      </w:r>
      <w:r>
        <w:t xml:space="preserve">. Таким образом, для них вместо </w:t>
      </w:r>
      <w:proofErr w:type="gramStart"/>
      <w:r>
        <w:t>классической</w:t>
      </w:r>
      <w:proofErr w:type="gramEnd"/>
      <w:r>
        <w:t xml:space="preserve"> «</w:t>
      </w:r>
      <w:proofErr w:type="spellStart"/>
      <w:r>
        <w:t>трилеммы</w:t>
      </w:r>
      <w:proofErr w:type="spellEnd"/>
      <w:r>
        <w:t>» имеет место «дилемма»: либо свободное движение капитала, либо независимая ДКП</w:t>
      </w:r>
      <w:r>
        <w:rPr>
          <w:rStyle w:val="a6"/>
          <w:rFonts w:cs="Calibri"/>
        </w:rPr>
        <w:endnoteReference w:id="2"/>
      </w:r>
      <w:r>
        <w:t xml:space="preserve">.  </w:t>
      </w:r>
    </w:p>
    <w:p w:rsidR="00A73CA1" w:rsidRDefault="00A73CA1" w:rsidP="00AE6AB6">
      <w:pPr>
        <w:spacing w:after="120"/>
        <w:jc w:val="both"/>
      </w:pPr>
      <w:r>
        <w:t xml:space="preserve">Сейчас в США идет постепенное сворачивание политики количественного смягчения, поэтому спекулятивный капитал уходит с развивающихся рынков и возвращается в США, в результате чего валюты большинства развивающихся стран в большей или меньшей степени обесцениваются относительно доллара.  Действие этого «глобального» фактора в отношении России в последнее время усугубляется дополнительными факторами, </w:t>
      </w:r>
      <w:proofErr w:type="gramStart"/>
      <w:r>
        <w:t>затрагивающими</w:t>
      </w:r>
      <w:proofErr w:type="gramEnd"/>
      <w:r>
        <w:t xml:space="preserve"> прежде всего Россию. Это резкое падение мировых цен на нефть, западные санкции, а также геополитические риски. Добавим сюда общую макроэкономическую слабость российской экономики, продолжающуюся экономическую стагнацию и тот факт, что в преддверии текущего валютного кризиса рубль был несколько переоценен относительно других валют (курс рубля несколько лет</w:t>
      </w:r>
      <w:r w:rsidRPr="0007084F">
        <w:t xml:space="preserve"> </w:t>
      </w:r>
      <w:r>
        <w:t xml:space="preserve">был стабилен, а инфляция в России значительно превышала инфляцию в США и Еврозоне). Совокупность указанных факторов оказывает сильнейшее понижательное давление на рубль и, тем самым, делает российскую валюту крайне уязвимой для спекулятивных атак. </w:t>
      </w:r>
    </w:p>
    <w:p w:rsidR="00A73CA1" w:rsidRDefault="00A73CA1" w:rsidP="00AE6AB6">
      <w:pPr>
        <w:spacing w:after="120"/>
        <w:jc w:val="both"/>
      </w:pPr>
      <w:r>
        <w:t>И эти атаки не заставили себя долго ждать</w:t>
      </w:r>
      <w:proofErr w:type="gramStart"/>
      <w:r>
        <w:t>… П</w:t>
      </w:r>
      <w:proofErr w:type="gramEnd"/>
      <w:r>
        <w:t>о-видимому, первыми начали играть против рубля западные хедж-фонды, причем их действия были продиктованы не только и не столько желанием заработать, но и «государственным заказом» со стороны властей западных стран, желающих экономически наказать Россию за ее независимую геополитику. Но даже если начало спекулятивной атаке положили западные игроки, то наши «участники финансового рынка» тоже в стороне не остались и к этой атаке</w:t>
      </w:r>
      <w:r w:rsidRPr="00F6150C">
        <w:t xml:space="preserve"> </w:t>
      </w:r>
      <w:r>
        <w:t>присоединились. А затем и население подтянулось – со своими скромными сбережениями…</w:t>
      </w:r>
    </w:p>
    <w:p w:rsidR="00A73CA1" w:rsidRDefault="00A73CA1" w:rsidP="00AE6AB6">
      <w:pPr>
        <w:spacing w:after="120"/>
        <w:jc w:val="both"/>
      </w:pPr>
      <w:r>
        <w:t>В результате всего этого спекулятивная атака против рубля набрала такую силу, что никакие инструменты денежно-кредитной политики не приносят никакого результата вообще. Даже беспрецедентно резкое повышение учетной ставки с 10.5 до 17%, проведенное в ночь на 16 декабря, не замедлило падение рубля: 16 декабря доллар пробил отметку 80 руб.</w:t>
      </w:r>
      <w:r w:rsidRPr="00342B2E">
        <w:t>/</w:t>
      </w:r>
      <w:r>
        <w:t>долл., а евро в моменте достигал психологически важной отметки 100 руб./евро. (После этого произошла некоторая коррекция, которую аналитики объясняют</w:t>
      </w:r>
      <w:r>
        <w:rPr>
          <w:rStyle w:val="a6"/>
          <w:rFonts w:cs="Calibri"/>
        </w:rPr>
        <w:endnoteReference w:id="3"/>
      </w:r>
      <w:r>
        <w:t xml:space="preserve"> интервенциями ЦБ, а также продажей валюты Минфином</w:t>
      </w:r>
      <w:r>
        <w:rPr>
          <w:rStyle w:val="a6"/>
          <w:rFonts w:cs="Calibri"/>
        </w:rPr>
        <w:endnoteReference w:id="4"/>
      </w:r>
      <w:r>
        <w:t xml:space="preserve">. Но радоваться здесь пока нечему: объем наших золотовалютных резервов только кажется значительным и сопоставим с объемом корпоративного внешнего долга.) </w:t>
      </w:r>
    </w:p>
    <w:p w:rsidR="00A73CA1" w:rsidRDefault="00A73CA1" w:rsidP="00AE6AB6">
      <w:pPr>
        <w:spacing w:after="120"/>
        <w:jc w:val="both"/>
      </w:pPr>
      <w:r>
        <w:t xml:space="preserve">И не надо утешать себя мыслью, что рубль в итоге нащупает равновесный курс и стабилизируется – пусть даже и на очень низком уровне. К сожалению, у России сейчас есть все предпосылки к скатыванию в инфляционно-девальвационную спираль. Говоря упрощенно, механизм этой </w:t>
      </w:r>
      <w:r>
        <w:lastRenderedPageBreak/>
        <w:t xml:space="preserve">спирали выглядит так. Девальвация национальной валюты с некоторым лагом приводит к повышению потребительских цен, причем этот эффект особенно силен в </w:t>
      </w:r>
      <w:proofErr w:type="spellStart"/>
      <w:r>
        <w:t>импорто</w:t>
      </w:r>
      <w:proofErr w:type="spellEnd"/>
      <w:r>
        <w:t xml:space="preserve">-зависимых экономиках – таких как Россия. В результате различие в уровнях инфляции в России, с одной стороны, и в США и Евросоюзе, с другой, – будет увеличиваться. А это будет двигать «равновесный» номинальный курс рубля (относительно доллара и евро) все ниже и ниже, и девальвация рубля будет продолжаться. </w:t>
      </w:r>
    </w:p>
    <w:p w:rsidR="00A73CA1" w:rsidRDefault="00A73CA1" w:rsidP="00AE6AB6">
      <w:pPr>
        <w:spacing w:after="120"/>
        <w:jc w:val="both"/>
      </w:pPr>
      <w:proofErr w:type="gramStart"/>
      <w:r>
        <w:t>Этот эффект будет усугубляться еще и тем, что при столь высокой ключевой ставке (пусть даже и с некоторыми элементами льготного целевого финансирования) у России есть все шансы скатиться из стагнации в рецессию, так как повышение ключевой ставки не может не транслироваться в повышение ставок кредитования конечных заемщиков, т.е. реального сектора экономики.</w:t>
      </w:r>
      <w:proofErr w:type="gramEnd"/>
    </w:p>
    <w:p w:rsidR="00A73CA1" w:rsidRDefault="00A73CA1" w:rsidP="00AE6AB6">
      <w:pPr>
        <w:spacing w:after="120"/>
        <w:jc w:val="both"/>
      </w:pPr>
      <w:r>
        <w:t>Таким образом, введение ограничений на движение капитала представляется неизбежным. То есть, говоря в терминах приведенной выше «</w:t>
      </w:r>
      <w:proofErr w:type="spellStart"/>
      <w:r>
        <w:t>трилеммы</w:t>
      </w:r>
      <w:proofErr w:type="spellEnd"/>
      <w:r>
        <w:t xml:space="preserve">»,  следует отказаться от свободного движения капитала ради стабильного (предсказуемого, оптимального для экономики) курса валюты и денежно-кредитной политики, направленной на решение экономических задач (а </w:t>
      </w:r>
      <w:proofErr w:type="gramStart"/>
      <w:r>
        <w:t>не задачи</w:t>
      </w:r>
      <w:proofErr w:type="gramEnd"/>
      <w:r>
        <w:t xml:space="preserve"> поддержания курса). </w:t>
      </w:r>
    </w:p>
    <w:p w:rsidR="00A73CA1" w:rsidRPr="004F6FB2" w:rsidRDefault="00A73CA1" w:rsidP="004F6FB2">
      <w:pPr>
        <w:spacing w:after="120"/>
        <w:jc w:val="both"/>
      </w:pPr>
      <w:r>
        <w:t>И не надо бояться, что иностранные инвестиции перестанут к нам приходить: от прихода краткосрочного спекулятивного капитала больше вреда, чем пользы. Т</w:t>
      </w:r>
      <w:r w:rsidRPr="004F6FB2">
        <w:t>акой капитал не направляется в реальный сектор экономики, а лишь создает пузыри на рынках активов, которые лопаются, когда потоки спекулятивного капитала меняют направление. Так что единственным результатом таких «иностранных инвестиций» бывает финансовая дестабилизация в тех странах, куда эти инвестиции «заходили в гости».</w:t>
      </w:r>
      <w:r>
        <w:t xml:space="preserve"> А что касается прямых иностранных инвестиций в реальный сектор экономики, для них можно предусмотреть особые условия и гарантии.</w:t>
      </w:r>
    </w:p>
    <w:p w:rsidR="00A73CA1" w:rsidRDefault="00A73CA1" w:rsidP="00AE6AB6">
      <w:pPr>
        <w:spacing w:after="120"/>
        <w:jc w:val="both"/>
      </w:pPr>
      <w:proofErr w:type="gramStart"/>
      <w:r>
        <w:t xml:space="preserve">Многие страны, причем не только развивающиеся, но и некоторые страны Запада, прибегали к ограничению движения капитала в кризисных ситуациях, а также при проведении ускоренной индустриализации (подробнее см. уже </w:t>
      </w:r>
      <w:proofErr w:type="spellStart"/>
      <w:r>
        <w:t>упоминавшуюся</w:t>
      </w:r>
      <w:proofErr w:type="spellEnd"/>
      <w:r>
        <w:t xml:space="preserve"> статью «Ограничение трансграничного движения капитала – реабилитация состоялась», а также мою статью «Финансовые аспекты японского экономического чуда – уроки для России», </w:t>
      </w:r>
      <w:proofErr w:type="spellStart"/>
      <w:r>
        <w:rPr>
          <w:lang w:val="en-US"/>
        </w:rPr>
        <w:t>kprf</w:t>
      </w:r>
      <w:proofErr w:type="spellEnd"/>
      <w:r w:rsidRPr="00E062EB">
        <w:t>.</w:t>
      </w:r>
      <w:proofErr w:type="spellStart"/>
      <w:r>
        <w:rPr>
          <w:lang w:val="en-US"/>
        </w:rPr>
        <w:t>ru</w:t>
      </w:r>
      <w:proofErr w:type="spellEnd"/>
      <w:r w:rsidRPr="00E062EB">
        <w:t>, 07.04.2014</w:t>
      </w:r>
      <w:r>
        <w:t>).</w:t>
      </w:r>
      <w:proofErr w:type="gramEnd"/>
      <w:r>
        <w:t xml:space="preserve"> В отличие от России, большинство наших партнеров по БРИКС в настоящее время имеют те или иные элементы валютного и капитального контроля. </w:t>
      </w:r>
    </w:p>
    <w:p w:rsidR="00A73CA1" w:rsidRDefault="00A73CA1" w:rsidP="00AE6AB6">
      <w:pPr>
        <w:spacing w:after="120"/>
        <w:jc w:val="both"/>
      </w:pPr>
      <w:r>
        <w:t xml:space="preserve">Международный опыт дает массу примеров инструментов капитального и валютного контроля. Например: </w:t>
      </w:r>
    </w:p>
    <w:p w:rsidR="00A73CA1" w:rsidRDefault="00A73CA1" w:rsidP="00D6564A">
      <w:pPr>
        <w:numPr>
          <w:ilvl w:val="0"/>
          <w:numId w:val="3"/>
        </w:numPr>
        <w:spacing w:after="120"/>
        <w:jc w:val="both"/>
      </w:pPr>
      <w:proofErr w:type="spellStart"/>
      <w:r>
        <w:t>макропруденциальные</w:t>
      </w:r>
      <w:proofErr w:type="spellEnd"/>
      <w:r>
        <w:t xml:space="preserve"> меры, такие как повышение </w:t>
      </w:r>
      <w:proofErr w:type="gramStart"/>
      <w:r>
        <w:t>требований</w:t>
      </w:r>
      <w:proofErr w:type="gramEnd"/>
      <w:r>
        <w:t xml:space="preserve"> по резервированию для банков (резервы в рублях, поэтому банки повысят свой спрос на рубли) или ограничения на структуру их балансов;</w:t>
      </w:r>
    </w:p>
    <w:p w:rsidR="00A73CA1" w:rsidRDefault="00A73CA1" w:rsidP="00D6564A">
      <w:pPr>
        <w:numPr>
          <w:ilvl w:val="0"/>
          <w:numId w:val="3"/>
        </w:numPr>
        <w:spacing w:after="120"/>
        <w:jc w:val="both"/>
      </w:pPr>
      <w:r>
        <w:t>обязательная продажа валютной выручки (или ее части) экспортерами;</w:t>
      </w:r>
    </w:p>
    <w:p w:rsidR="00A73CA1" w:rsidRDefault="00A73CA1" w:rsidP="00D6564A">
      <w:pPr>
        <w:numPr>
          <w:ilvl w:val="0"/>
          <w:numId w:val="3"/>
        </w:numPr>
        <w:spacing w:after="120"/>
        <w:jc w:val="both"/>
      </w:pPr>
      <w:r>
        <w:t>налог на трансграничные потоки капитала;</w:t>
      </w:r>
    </w:p>
    <w:p w:rsidR="00A73CA1" w:rsidRDefault="00A73CA1" w:rsidP="00D6564A">
      <w:pPr>
        <w:numPr>
          <w:ilvl w:val="0"/>
          <w:numId w:val="3"/>
        </w:numPr>
        <w:spacing w:after="120"/>
        <w:jc w:val="both"/>
      </w:pPr>
      <w:r w:rsidRPr="00D6564A">
        <w:t xml:space="preserve">для иностранных портфельных инвестиций </w:t>
      </w:r>
      <w:r>
        <w:t xml:space="preserve">ограничение на вывод средств, пробывших в стране менее года; </w:t>
      </w:r>
    </w:p>
    <w:p w:rsidR="00A73CA1" w:rsidRDefault="00A73CA1" w:rsidP="00D6564A">
      <w:pPr>
        <w:numPr>
          <w:ilvl w:val="0"/>
          <w:numId w:val="3"/>
        </w:numPr>
        <w:spacing w:after="120"/>
        <w:jc w:val="both"/>
      </w:pPr>
      <w:r>
        <w:t xml:space="preserve">ограничения на инвестиции за рубеж (например, для инвестиций свыше какого-то потолка должно требоваться разрешение регулирующего органа; оно дается, только если указанные инвестиции способствуют выполнению государственных задач – например, способствуют экспорту российских товаров или импорту необходимого оборудования и технологий); </w:t>
      </w:r>
    </w:p>
    <w:p w:rsidR="00A73CA1" w:rsidRDefault="00A73CA1" w:rsidP="00D6564A">
      <w:pPr>
        <w:numPr>
          <w:ilvl w:val="0"/>
          <w:numId w:val="3"/>
        </w:numPr>
        <w:spacing w:after="120"/>
        <w:jc w:val="both"/>
      </w:pPr>
      <w:r>
        <w:t>ограничения на вывоз наличной валюты гражданами.</w:t>
      </w:r>
    </w:p>
    <w:p w:rsidR="00A73CA1" w:rsidRDefault="00A73CA1" w:rsidP="004840D8">
      <w:pPr>
        <w:spacing w:after="120"/>
        <w:jc w:val="both"/>
      </w:pPr>
      <w:r>
        <w:lastRenderedPageBreak/>
        <w:t xml:space="preserve">Вопрос о том, какие именно меры выбрать из всего арсенала мер, предоставляемых международной практикой, требует дополнительной проработки с учетом анализа их эффективности и побочных эффектов, поэтому он выходит за рамки данной статьи. Однако здесь стоит отметить, что к вопросу об ограничениях на вывоз валюты для физических лиц надо подходить с большой осторожностью. Я бы не рекомендовала использование этой меры, поскольку это породит излишний ажиотаж и социальную напряженность – без заметного экономического эффекта. На мой взгляд, возможно лишь ограничение с достаточно большим пределом отсечения, т.е. ограничение, которое заведомо не будет затрагивать подавляющее большинство простых граждан. Например, запрет на вывоз гражданами валюты свыше 75 тыс. долл. в год – как это было сделано в Индии летом 2013 года. </w:t>
      </w:r>
    </w:p>
    <w:p w:rsidR="00A73CA1" w:rsidRDefault="00A73CA1" w:rsidP="004840D8">
      <w:pPr>
        <w:spacing w:after="120"/>
        <w:jc w:val="both"/>
      </w:pPr>
      <w:r w:rsidRPr="00147E1D">
        <w:t>Итак, резюмируя сказанное: в России необходимо вводить контроль над трансграничным движением капитала, а также расширять и совершенствовать валютный контроль. Это надо было делать уже давно – как только появились признаки надвигающейся рецессии</w:t>
      </w:r>
      <w:r>
        <w:t xml:space="preserve"> и геополитической напряженности</w:t>
      </w:r>
      <w:r w:rsidRPr="00147E1D">
        <w:t xml:space="preserve"> – для того, чтобы создать условия для смягчения денежно-кредитной политики. А сейчас – в условиях панического бегства капитала из России</w:t>
      </w:r>
      <w:r>
        <w:t xml:space="preserve"> и спекулятивных атак на рубль</w:t>
      </w:r>
      <w:r w:rsidRPr="00147E1D">
        <w:t xml:space="preserve"> – введение капитального контроля абсолютно необходимо. И нечего бояться отпугнуть потенциальные иностранные инвестиции – их объем и так незначителен и не критичен для нашей экономики</w:t>
      </w:r>
      <w:r>
        <w:t xml:space="preserve">. </w:t>
      </w:r>
    </w:p>
    <w:p w:rsidR="00A73CA1" w:rsidRDefault="00A73CA1" w:rsidP="00AE6AB6">
      <w:pPr>
        <w:spacing w:after="120"/>
        <w:jc w:val="both"/>
      </w:pPr>
    </w:p>
    <w:sectPr w:rsidR="00A73CA1" w:rsidSect="0047437F"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64" w:rsidRDefault="00407264" w:rsidP="00733C94">
      <w:pPr>
        <w:spacing w:after="0" w:line="240" w:lineRule="auto"/>
      </w:pPr>
      <w:r>
        <w:separator/>
      </w:r>
    </w:p>
  </w:endnote>
  <w:endnote w:type="continuationSeparator" w:id="0">
    <w:p w:rsidR="00407264" w:rsidRDefault="00407264" w:rsidP="00733C94">
      <w:pPr>
        <w:spacing w:after="0" w:line="240" w:lineRule="auto"/>
      </w:pPr>
      <w:r>
        <w:continuationSeparator/>
      </w:r>
    </w:p>
  </w:endnote>
  <w:endnote w:id="1">
    <w:p w:rsidR="00A73CA1" w:rsidRPr="00796A27" w:rsidRDefault="00A73CA1">
      <w:pPr>
        <w:pStyle w:val="a4"/>
        <w:rPr>
          <w:lang w:val="en-US"/>
        </w:rPr>
      </w:pPr>
      <w:r>
        <w:rPr>
          <w:rStyle w:val="a6"/>
          <w:rFonts w:cs="Calibri"/>
        </w:rPr>
        <w:endnoteRef/>
      </w:r>
      <w:r w:rsidRPr="00AE692D">
        <w:rPr>
          <w:rStyle w:val="reference-text"/>
          <w:rFonts w:cs="Calibri"/>
          <w:lang w:val="en-US"/>
        </w:rPr>
        <w:t xml:space="preserve"> </w:t>
      </w:r>
      <w:r>
        <w:rPr>
          <w:rStyle w:val="reference-text"/>
          <w:rFonts w:cs="Calibri"/>
          <w:lang w:val="en-US"/>
        </w:rPr>
        <w:t xml:space="preserve">Maurice </w:t>
      </w:r>
      <w:proofErr w:type="spellStart"/>
      <w:r>
        <w:rPr>
          <w:rStyle w:val="reference-text"/>
          <w:rFonts w:cs="Calibri"/>
          <w:lang w:val="en-US"/>
        </w:rPr>
        <w:t>Obstfelt</w:t>
      </w:r>
      <w:proofErr w:type="spellEnd"/>
      <w:r>
        <w:rPr>
          <w:rStyle w:val="reference-text"/>
          <w:rFonts w:cs="Calibri"/>
          <w:lang w:val="en-US"/>
        </w:rPr>
        <w:t xml:space="preserve">, Jay C. </w:t>
      </w:r>
      <w:proofErr w:type="spellStart"/>
      <w:r>
        <w:rPr>
          <w:rStyle w:val="reference-text"/>
          <w:rFonts w:cs="Calibri"/>
          <w:lang w:val="en-US"/>
        </w:rPr>
        <w:t>Shambaugh</w:t>
      </w:r>
      <w:proofErr w:type="spellEnd"/>
      <w:r>
        <w:rPr>
          <w:rStyle w:val="reference-text"/>
          <w:rFonts w:cs="Calibri"/>
          <w:lang w:val="en-US"/>
        </w:rPr>
        <w:t xml:space="preserve">, Alan M. Taylor. </w:t>
      </w:r>
      <w:r w:rsidRPr="00A40AFA">
        <w:rPr>
          <w:rStyle w:val="reference-text"/>
          <w:rFonts w:cs="Calibri"/>
          <w:i/>
          <w:iCs/>
          <w:lang w:val="en-US"/>
        </w:rPr>
        <w:t>The Trilemma in History: Tradeoffs among Exchange Rates, Monetary Policies, and Capital Mobility</w:t>
      </w:r>
      <w:r w:rsidRPr="00A40AFA">
        <w:rPr>
          <w:rStyle w:val="reference-text"/>
          <w:rFonts w:cs="Calibri"/>
          <w:lang w:val="en-US"/>
        </w:rPr>
        <w:t>, NBER Working Paper 10396, March 2004</w:t>
      </w:r>
      <w:r w:rsidRPr="00733C94">
        <w:rPr>
          <w:lang w:val="en-US"/>
        </w:rPr>
        <w:t xml:space="preserve"> </w:t>
      </w:r>
    </w:p>
  </w:endnote>
  <w:endnote w:id="2">
    <w:p w:rsidR="00A73CA1" w:rsidRDefault="00A73CA1" w:rsidP="003429F6">
      <w:pPr>
        <w:pStyle w:val="a4"/>
        <w:spacing w:before="120" w:after="120"/>
      </w:pPr>
      <w:r>
        <w:rPr>
          <w:rStyle w:val="a6"/>
          <w:rFonts w:cs="Calibri"/>
        </w:rPr>
        <w:endnoteRef/>
      </w:r>
      <w:r w:rsidRPr="005D33E7">
        <w:rPr>
          <w:lang w:val="en-US"/>
        </w:rPr>
        <w:t xml:space="preserve"> </w:t>
      </w:r>
      <w:r w:rsidRPr="00A40AFA">
        <w:rPr>
          <w:lang w:val="en-US"/>
        </w:rPr>
        <w:t>Hélène</w:t>
      </w:r>
      <w:r w:rsidRPr="005D33E7">
        <w:rPr>
          <w:lang w:val="en-US"/>
        </w:rPr>
        <w:t xml:space="preserve"> Rey. </w:t>
      </w:r>
      <w:r w:rsidRPr="005F60BE">
        <w:rPr>
          <w:i/>
          <w:iCs/>
          <w:lang w:val="en-US"/>
        </w:rPr>
        <w:t>Dilemma not trilemma: the global financial cycle and monetary policy independence</w:t>
      </w:r>
      <w:r w:rsidRPr="005D33E7">
        <w:rPr>
          <w:lang w:val="en-US"/>
        </w:rPr>
        <w:t xml:space="preserve">. </w:t>
      </w:r>
      <w:r w:rsidRPr="005D33E7">
        <w:t xml:space="preserve">Можно найти на сайте Федерального резервного банка Канзаса: </w:t>
      </w:r>
      <w:r w:rsidRPr="005D33E7">
        <w:rPr>
          <w:lang w:val="en-US"/>
        </w:rPr>
        <w:t>kc</w:t>
      </w:r>
      <w:r w:rsidRPr="005D33E7">
        <w:t>.</w:t>
      </w:r>
      <w:proofErr w:type="spellStart"/>
      <w:r w:rsidRPr="005D33E7">
        <w:rPr>
          <w:lang w:val="en-US"/>
        </w:rPr>
        <w:t>frb</w:t>
      </w:r>
      <w:proofErr w:type="spellEnd"/>
      <w:r w:rsidRPr="005D33E7">
        <w:t>.</w:t>
      </w:r>
      <w:r w:rsidRPr="005D33E7">
        <w:rPr>
          <w:lang w:val="en-US"/>
        </w:rPr>
        <w:t>org</w:t>
      </w:r>
      <w:r>
        <w:t xml:space="preserve">. </w:t>
      </w:r>
    </w:p>
    <w:p w:rsidR="00A73CA1" w:rsidRDefault="00A73CA1" w:rsidP="003429F6">
      <w:pPr>
        <w:pStyle w:val="a4"/>
        <w:spacing w:before="120" w:after="120"/>
        <w:rPr>
          <w:i/>
          <w:iCs/>
        </w:rPr>
      </w:pPr>
      <w:r w:rsidRPr="003429F6">
        <w:t>Основной вывод автор статьи формулирует так:</w:t>
      </w:r>
      <w:r>
        <w:rPr>
          <w:i/>
          <w:iCs/>
        </w:rPr>
        <w:t xml:space="preserve"> </w:t>
      </w:r>
      <w:r w:rsidRPr="00D114F4">
        <w:rPr>
          <w:i/>
          <w:iCs/>
        </w:rPr>
        <w:t xml:space="preserve">независимая денежно-кредитная политика возможна тогда и только тогда, когда капитальный счет </w:t>
      </w:r>
      <w:r w:rsidRPr="00577272">
        <w:t>[</w:t>
      </w:r>
      <w:r w:rsidRPr="00D114F4">
        <w:rPr>
          <w:i/>
          <w:iCs/>
        </w:rPr>
        <w:t>платежного баланса</w:t>
      </w:r>
      <w:r w:rsidRPr="00577272">
        <w:t>]</w:t>
      </w:r>
      <w:r w:rsidRPr="00D114F4">
        <w:rPr>
          <w:i/>
          <w:iCs/>
        </w:rPr>
        <w:t xml:space="preserve"> контролируется – либо напрямую, либо ко</w:t>
      </w:r>
      <w:r>
        <w:rPr>
          <w:i/>
          <w:iCs/>
        </w:rPr>
        <w:t xml:space="preserve">свенно через </w:t>
      </w:r>
      <w:proofErr w:type="spellStart"/>
      <w:r>
        <w:rPr>
          <w:i/>
          <w:iCs/>
        </w:rPr>
        <w:t>макропруденциальные</w:t>
      </w:r>
      <w:proofErr w:type="spellEnd"/>
      <w:r>
        <w:rPr>
          <w:i/>
          <w:iCs/>
        </w:rPr>
        <w:t xml:space="preserve"> </w:t>
      </w:r>
      <w:r w:rsidRPr="00D114F4">
        <w:rPr>
          <w:i/>
          <w:iCs/>
        </w:rPr>
        <w:t xml:space="preserve"> меры</w:t>
      </w:r>
      <w:r>
        <w:rPr>
          <w:i/>
          <w:iCs/>
        </w:rPr>
        <w:t xml:space="preserve">. </w:t>
      </w:r>
    </w:p>
    <w:p w:rsidR="00A73CA1" w:rsidRDefault="00A73CA1" w:rsidP="003429F6">
      <w:pPr>
        <w:pStyle w:val="a4"/>
        <w:spacing w:before="120" w:after="120"/>
      </w:pPr>
    </w:p>
  </w:endnote>
  <w:endnote w:id="3">
    <w:p w:rsidR="00A73CA1" w:rsidRDefault="00A73CA1">
      <w:pPr>
        <w:pStyle w:val="a4"/>
      </w:pPr>
      <w:r>
        <w:rPr>
          <w:rStyle w:val="a6"/>
          <w:rFonts w:cs="Calibri"/>
        </w:rPr>
        <w:endnoteRef/>
      </w:r>
      <w:r>
        <w:t xml:space="preserve"> См. «Нерезиденты играют против рубля» </w:t>
      </w:r>
      <w:r w:rsidRPr="00342B2E">
        <w:t xml:space="preserve">// </w:t>
      </w:r>
      <w:r>
        <w:t>E</w:t>
      </w:r>
      <w:proofErr w:type="spellStart"/>
      <w:r>
        <w:rPr>
          <w:lang w:val="en-US"/>
        </w:rPr>
        <w:t>xpert</w:t>
      </w:r>
      <w:proofErr w:type="spellEnd"/>
      <w:r w:rsidRPr="00342B2E">
        <w:t xml:space="preserve"> </w:t>
      </w:r>
      <w:r>
        <w:rPr>
          <w:lang w:val="en-US"/>
        </w:rPr>
        <w:t>Online</w:t>
      </w:r>
      <w:r w:rsidRPr="00342B2E">
        <w:t xml:space="preserve">, 16 </w:t>
      </w:r>
      <w:r>
        <w:t>декабря 2014. (На момент написания этой статьи – 17.12.2014 – официальные данные о валютных интервенциях Центробанка за 16 декабря еще не были опубликованы.)</w:t>
      </w:r>
    </w:p>
  </w:endnote>
  <w:endnote w:id="4">
    <w:p w:rsidR="00A73CA1" w:rsidRDefault="00A73CA1">
      <w:pPr>
        <w:pStyle w:val="a4"/>
      </w:pPr>
      <w:r>
        <w:rPr>
          <w:rStyle w:val="a6"/>
          <w:rFonts w:cs="Calibri"/>
        </w:rPr>
        <w:endnoteRef/>
      </w:r>
      <w:r>
        <w:t xml:space="preserve"> Новости, Первый канал, </w:t>
      </w:r>
      <w:r w:rsidRPr="001D7926">
        <w:t xml:space="preserve">17.12.2014, </w:t>
      </w:r>
      <w:r w:rsidRPr="00AA12A2">
        <w:t>http://www.1tv.ru/news/economic/274056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64" w:rsidRDefault="00407264" w:rsidP="00733C94">
      <w:pPr>
        <w:spacing w:after="0" w:line="240" w:lineRule="auto"/>
      </w:pPr>
      <w:r>
        <w:separator/>
      </w:r>
    </w:p>
  </w:footnote>
  <w:footnote w:type="continuationSeparator" w:id="0">
    <w:p w:rsidR="00407264" w:rsidRDefault="00407264" w:rsidP="0073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046"/>
    <w:multiLevelType w:val="hybridMultilevel"/>
    <w:tmpl w:val="B9744A52"/>
    <w:lvl w:ilvl="0" w:tplc="4B5A4FC2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">
    <w:nsid w:val="44874024"/>
    <w:multiLevelType w:val="multilevel"/>
    <w:tmpl w:val="B3DC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93D34"/>
    <w:multiLevelType w:val="hybridMultilevel"/>
    <w:tmpl w:val="1DD85C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5"/>
    <w:rsid w:val="000151C7"/>
    <w:rsid w:val="00023579"/>
    <w:rsid w:val="00023980"/>
    <w:rsid w:val="00037BFD"/>
    <w:rsid w:val="00060B8A"/>
    <w:rsid w:val="0007084F"/>
    <w:rsid w:val="000839FF"/>
    <w:rsid w:val="00084480"/>
    <w:rsid w:val="000851BC"/>
    <w:rsid w:val="00086832"/>
    <w:rsid w:val="000A02B9"/>
    <w:rsid w:val="000A7387"/>
    <w:rsid w:val="000A7965"/>
    <w:rsid w:val="00107F97"/>
    <w:rsid w:val="001128A5"/>
    <w:rsid w:val="0012316B"/>
    <w:rsid w:val="00130329"/>
    <w:rsid w:val="00143037"/>
    <w:rsid w:val="00147E1D"/>
    <w:rsid w:val="00160DF7"/>
    <w:rsid w:val="0018614A"/>
    <w:rsid w:val="001C0E50"/>
    <w:rsid w:val="001D7926"/>
    <w:rsid w:val="001E5692"/>
    <w:rsid w:val="00265915"/>
    <w:rsid w:val="00293219"/>
    <w:rsid w:val="002A1F12"/>
    <w:rsid w:val="002A5F3C"/>
    <w:rsid w:val="002C5C5E"/>
    <w:rsid w:val="002D0458"/>
    <w:rsid w:val="00305A42"/>
    <w:rsid w:val="0032253C"/>
    <w:rsid w:val="003429F6"/>
    <w:rsid w:val="00342B2E"/>
    <w:rsid w:val="003C4BC9"/>
    <w:rsid w:val="003C6D8D"/>
    <w:rsid w:val="003E7B2A"/>
    <w:rsid w:val="003F613E"/>
    <w:rsid w:val="00404CC6"/>
    <w:rsid w:val="00406A7E"/>
    <w:rsid w:val="00407264"/>
    <w:rsid w:val="004206A3"/>
    <w:rsid w:val="004239A8"/>
    <w:rsid w:val="00423D84"/>
    <w:rsid w:val="00446C14"/>
    <w:rsid w:val="0044726A"/>
    <w:rsid w:val="004540CF"/>
    <w:rsid w:val="004678C8"/>
    <w:rsid w:val="0047437F"/>
    <w:rsid w:val="004840D8"/>
    <w:rsid w:val="00487A82"/>
    <w:rsid w:val="00487F3A"/>
    <w:rsid w:val="004927C5"/>
    <w:rsid w:val="004D7308"/>
    <w:rsid w:val="004E1ADF"/>
    <w:rsid w:val="004E46C6"/>
    <w:rsid w:val="004F6FB2"/>
    <w:rsid w:val="00505EF3"/>
    <w:rsid w:val="00541A98"/>
    <w:rsid w:val="0055012B"/>
    <w:rsid w:val="00551A6B"/>
    <w:rsid w:val="005765E8"/>
    <w:rsid w:val="00577272"/>
    <w:rsid w:val="005774D2"/>
    <w:rsid w:val="005B32DB"/>
    <w:rsid w:val="005B4011"/>
    <w:rsid w:val="005D33E7"/>
    <w:rsid w:val="005F483D"/>
    <w:rsid w:val="005F4883"/>
    <w:rsid w:val="005F60BE"/>
    <w:rsid w:val="006135AA"/>
    <w:rsid w:val="00622369"/>
    <w:rsid w:val="00660F99"/>
    <w:rsid w:val="00674259"/>
    <w:rsid w:val="00691639"/>
    <w:rsid w:val="00693416"/>
    <w:rsid w:val="006B6148"/>
    <w:rsid w:val="00712204"/>
    <w:rsid w:val="0072535F"/>
    <w:rsid w:val="00727974"/>
    <w:rsid w:val="00730970"/>
    <w:rsid w:val="00731437"/>
    <w:rsid w:val="00733C94"/>
    <w:rsid w:val="0073680A"/>
    <w:rsid w:val="00751121"/>
    <w:rsid w:val="00764D16"/>
    <w:rsid w:val="007766E8"/>
    <w:rsid w:val="00787FC4"/>
    <w:rsid w:val="00796A27"/>
    <w:rsid w:val="007A2078"/>
    <w:rsid w:val="007B5AB3"/>
    <w:rsid w:val="007D03F2"/>
    <w:rsid w:val="007D4460"/>
    <w:rsid w:val="00822684"/>
    <w:rsid w:val="008464C8"/>
    <w:rsid w:val="00870983"/>
    <w:rsid w:val="00881081"/>
    <w:rsid w:val="00883370"/>
    <w:rsid w:val="008962D8"/>
    <w:rsid w:val="008A13B7"/>
    <w:rsid w:val="008B09EE"/>
    <w:rsid w:val="008D17EC"/>
    <w:rsid w:val="008F2001"/>
    <w:rsid w:val="008F58A3"/>
    <w:rsid w:val="00930382"/>
    <w:rsid w:val="009806B9"/>
    <w:rsid w:val="00982BB5"/>
    <w:rsid w:val="009A118F"/>
    <w:rsid w:val="009A22A9"/>
    <w:rsid w:val="009A6148"/>
    <w:rsid w:val="009B39FD"/>
    <w:rsid w:val="009C065C"/>
    <w:rsid w:val="009C1B55"/>
    <w:rsid w:val="009C60CF"/>
    <w:rsid w:val="009E6534"/>
    <w:rsid w:val="00A03715"/>
    <w:rsid w:val="00A22698"/>
    <w:rsid w:val="00A25959"/>
    <w:rsid w:val="00A33D40"/>
    <w:rsid w:val="00A40AFA"/>
    <w:rsid w:val="00A471AA"/>
    <w:rsid w:val="00A67080"/>
    <w:rsid w:val="00A73CA1"/>
    <w:rsid w:val="00A752CA"/>
    <w:rsid w:val="00A96185"/>
    <w:rsid w:val="00AA12A2"/>
    <w:rsid w:val="00AA30CA"/>
    <w:rsid w:val="00AA30EA"/>
    <w:rsid w:val="00AA6F7F"/>
    <w:rsid w:val="00AC5C8E"/>
    <w:rsid w:val="00AC7202"/>
    <w:rsid w:val="00AE692D"/>
    <w:rsid w:val="00AE6AB6"/>
    <w:rsid w:val="00AE6BB5"/>
    <w:rsid w:val="00AE7F3C"/>
    <w:rsid w:val="00AE7F3F"/>
    <w:rsid w:val="00B12403"/>
    <w:rsid w:val="00B1259C"/>
    <w:rsid w:val="00B241E5"/>
    <w:rsid w:val="00B5126F"/>
    <w:rsid w:val="00B71B14"/>
    <w:rsid w:val="00B82F4F"/>
    <w:rsid w:val="00BA5502"/>
    <w:rsid w:val="00BE3778"/>
    <w:rsid w:val="00C00764"/>
    <w:rsid w:val="00C01ABA"/>
    <w:rsid w:val="00C02AD4"/>
    <w:rsid w:val="00C06DBD"/>
    <w:rsid w:val="00C326B0"/>
    <w:rsid w:val="00C43ECA"/>
    <w:rsid w:val="00C477E0"/>
    <w:rsid w:val="00C6296E"/>
    <w:rsid w:val="00C77BA3"/>
    <w:rsid w:val="00C91A1C"/>
    <w:rsid w:val="00CA3717"/>
    <w:rsid w:val="00CA5EE0"/>
    <w:rsid w:val="00CB6604"/>
    <w:rsid w:val="00CC589B"/>
    <w:rsid w:val="00CE4EF5"/>
    <w:rsid w:val="00CE66CE"/>
    <w:rsid w:val="00D114F4"/>
    <w:rsid w:val="00D24604"/>
    <w:rsid w:val="00D2692D"/>
    <w:rsid w:val="00D27824"/>
    <w:rsid w:val="00D27AD1"/>
    <w:rsid w:val="00D6564A"/>
    <w:rsid w:val="00D73061"/>
    <w:rsid w:val="00D7383D"/>
    <w:rsid w:val="00DC116A"/>
    <w:rsid w:val="00DC67E6"/>
    <w:rsid w:val="00DD0003"/>
    <w:rsid w:val="00DE71C9"/>
    <w:rsid w:val="00DF2A89"/>
    <w:rsid w:val="00E062EB"/>
    <w:rsid w:val="00E3048E"/>
    <w:rsid w:val="00E64772"/>
    <w:rsid w:val="00E748C7"/>
    <w:rsid w:val="00E90C19"/>
    <w:rsid w:val="00E94754"/>
    <w:rsid w:val="00EA5A41"/>
    <w:rsid w:val="00EB513D"/>
    <w:rsid w:val="00EF0138"/>
    <w:rsid w:val="00F12932"/>
    <w:rsid w:val="00F25E9B"/>
    <w:rsid w:val="00F26AD1"/>
    <w:rsid w:val="00F273C6"/>
    <w:rsid w:val="00F35965"/>
    <w:rsid w:val="00F4498D"/>
    <w:rsid w:val="00F47D28"/>
    <w:rsid w:val="00F51E1E"/>
    <w:rsid w:val="00F53DB6"/>
    <w:rsid w:val="00F6150C"/>
    <w:rsid w:val="00F61D63"/>
    <w:rsid w:val="00F626D6"/>
    <w:rsid w:val="00FB2740"/>
    <w:rsid w:val="00FC0C2E"/>
    <w:rsid w:val="00FC7DF6"/>
    <w:rsid w:val="00FD64F3"/>
    <w:rsid w:val="00FE40A9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A82"/>
    <w:pPr>
      <w:ind w:left="720"/>
    </w:pPr>
  </w:style>
  <w:style w:type="paragraph" w:styleId="a4">
    <w:name w:val="endnote text"/>
    <w:basedOn w:val="a"/>
    <w:link w:val="a5"/>
    <w:uiPriority w:val="99"/>
    <w:semiHidden/>
    <w:rsid w:val="00733C9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733C94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733C94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rsid w:val="00733C94"/>
    <w:rPr>
      <w:rFonts w:cs="Times New Roman"/>
      <w:color w:val="0000FF"/>
      <w:u w:val="single"/>
    </w:rPr>
  </w:style>
  <w:style w:type="character" w:customStyle="1" w:styleId="reference-text">
    <w:name w:val="reference-text"/>
    <w:basedOn w:val="a0"/>
    <w:uiPriority w:val="99"/>
    <w:rsid w:val="00733C94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342B2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806B9"/>
    <w:rPr>
      <w:rFonts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342B2E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32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F58A3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A82"/>
    <w:pPr>
      <w:ind w:left="720"/>
    </w:pPr>
  </w:style>
  <w:style w:type="paragraph" w:styleId="a4">
    <w:name w:val="endnote text"/>
    <w:basedOn w:val="a"/>
    <w:link w:val="a5"/>
    <w:uiPriority w:val="99"/>
    <w:semiHidden/>
    <w:rsid w:val="00733C9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733C94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733C94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rsid w:val="00733C94"/>
    <w:rPr>
      <w:rFonts w:cs="Times New Roman"/>
      <w:color w:val="0000FF"/>
      <w:u w:val="single"/>
    </w:rPr>
  </w:style>
  <w:style w:type="character" w:customStyle="1" w:styleId="reference-text">
    <w:name w:val="reference-text"/>
    <w:basedOn w:val="a0"/>
    <w:uiPriority w:val="99"/>
    <w:rsid w:val="00733C94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342B2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806B9"/>
    <w:rPr>
      <w:rFonts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342B2E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32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F58A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</cp:revision>
  <cp:lastPrinted>2014-12-17T12:10:00Z</cp:lastPrinted>
  <dcterms:created xsi:type="dcterms:W3CDTF">2014-12-23T08:40:00Z</dcterms:created>
  <dcterms:modified xsi:type="dcterms:W3CDTF">2014-12-23T08:40:00Z</dcterms:modified>
</cp:coreProperties>
</file>